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ARLINGTON COUNTY COMMISSION ON THE STATUS OF WOMEN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MONTHLY MEETING: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Thursday February 13, 2025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7:00 pm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Ellen M. Bozman Government Center, Conference Room 101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2100 Clarendon Blvd., Arlington, VA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Virtual: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Microsoft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 xml:space="preserve">In-Person</w:t>
        <w:tab/>
        <w:t xml:space="preserve">Virtual</w:t>
        <w:tab/>
        <w:tab/>
        <w:t xml:space="preserve">Absent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Commissioners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Caroline Romano, Chair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Marguerete Luter, Vice Chair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Jeanine Finch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Arbora Johnson 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Julia Tanner 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Susan Strauss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Sasha Whitney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Jade Garnett</w:t>
        <w:tab/>
        <w:tab/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 Lorelle Langhorne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Harjinder Gill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 Grace Freeman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12. Lisa Marcellus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Staff Coordinator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Courtney Palmer-Sales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</w:t>
        <w:tab/>
        <w:t xml:space="preserve">Chair and Vice Chair Remarks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Committee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  <w:tab/>
        <w:t xml:space="preserve">WOV Event Planning (Jeanine Finch)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Finalized event details for venue, catering, sponsorships, and program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</w:t>
        <w:tab/>
        <w:t xml:space="preserve">Discussion of budget presentation</w:t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7E0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78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x3on6F+kvwg+NGJFRA9wOL/Nw==">CgMxLjAyCGguZ2pkZ3hzOAByITFRU3JJWm04REU5eHdzam5rRW55V0V4c0lJT3gxa2ZhVQ==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2023-10-11T19:17:00Z</dcterms:created>
  <dc:creator>Romano, Caroline G</dc:creator>
</cp:coreProperties>
</file>